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507" w:rsidRDefault="00D95F96">
      <w:hyperlink r:id="rId4" w:history="1">
        <w:r w:rsidRPr="00295DA2">
          <w:rPr>
            <w:rStyle w:val="Hipercze"/>
          </w:rPr>
          <w:t>https://www.gov.pl/web/rolnictwo/-leaderrozwoj-lokalny-kierowany-przez-spolecznosc-rlks</w:t>
        </w:r>
      </w:hyperlink>
    </w:p>
    <w:p w:rsidR="00D95F96" w:rsidRDefault="00D95F96">
      <w:bookmarkStart w:id="0" w:name="_GoBack"/>
      <w:bookmarkEnd w:id="0"/>
    </w:p>
    <w:sectPr w:rsidR="00D95F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4B8"/>
    <w:rsid w:val="005E04B8"/>
    <w:rsid w:val="00D95F96"/>
    <w:rsid w:val="00DA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F1B081-CD9A-4CF3-AD08-669E740E6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95F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pl/web/rolnictwo/-leaderrozwoj-lokalny-kierowany-przez-spolecznosc-rlk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166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3</cp:revision>
  <dcterms:created xsi:type="dcterms:W3CDTF">2025-03-14T12:48:00Z</dcterms:created>
  <dcterms:modified xsi:type="dcterms:W3CDTF">2025-03-14T12:48:00Z</dcterms:modified>
</cp:coreProperties>
</file>